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A0326" w:rsidRDefault="00DB3CBC">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1908797</w:t>
      </w:r>
    </w:p>
    <w:p w:rsidR="006A0326" w:rsidRDefault="00DB3CBC">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Prague, CZ, August 26th – 30th, 2019</w:t>
      </w:r>
    </w:p>
    <w:p w:rsidR="006A0326" w:rsidRDefault="00DB3CBC">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In-device coexistence between NR V2X and LTE V2X</w:t>
      </w:r>
    </w:p>
    <w:p w:rsidR="006A0326" w:rsidRDefault="00DB3CBC">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sidR="00905AB7">
        <w:rPr>
          <w:rFonts w:ascii="Arial" w:hAnsi="Arial"/>
          <w:b/>
          <w:sz w:val="22"/>
          <w:szCs w:val="22"/>
        </w:rPr>
        <w:t>,</w:t>
      </w:r>
      <w:r w:rsidR="00905AB7" w:rsidRPr="00905AB7">
        <w:rPr>
          <w:rFonts w:ascii="Arial" w:hAnsi="Arial" w:hint="eastAsia"/>
          <w:b/>
          <w:sz w:val="22"/>
          <w:szCs w:val="22"/>
        </w:rPr>
        <w:t xml:space="preserve"> </w:t>
      </w:r>
      <w:r w:rsidR="00905AB7">
        <w:rPr>
          <w:rFonts w:ascii="Arial" w:hAnsi="Arial" w:hint="eastAsia"/>
          <w:b/>
          <w:sz w:val="22"/>
          <w:szCs w:val="22"/>
        </w:rPr>
        <w:t>Sanechips</w:t>
      </w:r>
    </w:p>
    <w:p w:rsidR="006A0326" w:rsidRDefault="00DB3CBC">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7.2.4.4</w:t>
      </w:r>
    </w:p>
    <w:p w:rsidR="006A0326" w:rsidRDefault="00DB3CBC">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A0326" w:rsidRDefault="00DB3CBC">
      <w:pPr>
        <w:pStyle w:val="1"/>
        <w:spacing w:before="120" w:after="120"/>
        <w:ind w:left="0"/>
        <w:rPr>
          <w:rFonts w:eastAsia="宋体"/>
        </w:rPr>
      </w:pPr>
      <w:r>
        <w:rPr>
          <w:rFonts w:eastAsia="宋体" w:hint="eastAsia"/>
        </w:rPr>
        <w:t>Introduction</w:t>
      </w:r>
    </w:p>
    <w:p w:rsidR="006A0326" w:rsidRDefault="00DB3CBC">
      <w:pPr>
        <w:adjustRightInd w:val="0"/>
        <w:snapToGrid w:val="0"/>
        <w:spacing w:before="120" w:after="120" w:line="22" w:lineRule="atLeast"/>
        <w:rPr>
          <w:sz w:val="20"/>
        </w:rPr>
      </w:pPr>
      <w:r>
        <w:rPr>
          <w:sz w:val="20"/>
        </w:rPr>
        <w:t>At RAN1 #96bis meeting, the following working assumption were made [</w:t>
      </w:r>
      <w:r>
        <w:rPr>
          <w:rFonts w:hint="eastAsia"/>
          <w:sz w:val="20"/>
        </w:rPr>
        <w:t>1</w:t>
      </w:r>
      <w:r>
        <w:rPr>
          <w:sz w:val="20"/>
        </w:rPr>
        <w:t>]:</w:t>
      </w:r>
    </w:p>
    <w:p w:rsidR="006A0326" w:rsidRDefault="00DB3CBC">
      <w:pPr>
        <w:adjustRightInd w:val="0"/>
        <w:snapToGrid w:val="0"/>
        <w:spacing w:before="120" w:after="120" w:line="22" w:lineRule="atLeast"/>
        <w:ind w:left="1440" w:hanging="1440"/>
        <w:rPr>
          <w:sz w:val="20"/>
          <w:highlight w:val="darkYellow"/>
        </w:rPr>
      </w:pPr>
      <w:r>
        <w:rPr>
          <w:sz w:val="20"/>
          <w:highlight w:val="darkYellow"/>
        </w:rPr>
        <w:t>Working assumption:</w:t>
      </w:r>
    </w:p>
    <w:p w:rsidR="006A0326" w:rsidRDefault="00DB3CBC">
      <w:pPr>
        <w:pStyle w:val="ab"/>
        <w:numPr>
          <w:ilvl w:val="0"/>
          <w:numId w:val="6"/>
        </w:numPr>
        <w:adjustRightInd w:val="0"/>
        <w:snapToGrid w:val="0"/>
        <w:spacing w:after="120" w:line="22" w:lineRule="atLeast"/>
        <w:ind w:hanging="363"/>
        <w:rPr>
          <w:sz w:val="20"/>
          <w:szCs w:val="20"/>
        </w:rPr>
      </w:pPr>
      <w:r>
        <w:rPr>
          <w:sz w:val="20"/>
          <w:szCs w:val="20"/>
        </w:rPr>
        <w:t xml:space="preserve">For Tx/Tx overlap, </w:t>
      </w:r>
    </w:p>
    <w:p w:rsidR="006A0326" w:rsidRDefault="00DB3CBC">
      <w:pPr>
        <w:pStyle w:val="ab"/>
        <w:numPr>
          <w:ilvl w:val="1"/>
          <w:numId w:val="6"/>
        </w:numPr>
        <w:adjustRightInd w:val="0"/>
        <w:snapToGrid w:val="0"/>
        <w:spacing w:after="120" w:line="22" w:lineRule="atLeast"/>
        <w:ind w:hanging="363"/>
        <w:rPr>
          <w:sz w:val="20"/>
          <w:szCs w:val="20"/>
        </w:rPr>
      </w:pPr>
      <w:r>
        <w:rPr>
          <w:sz w:val="20"/>
          <w:szCs w:val="20"/>
        </w:rPr>
        <w:t xml:space="preserve">If packet priorities of both LTE and NR sidelink transmissions are known to both RATs prior to time of transmission subject to processing time restriction, then the packet with a higher relative priority is transmitted </w:t>
      </w:r>
    </w:p>
    <w:p w:rsidR="006A0326" w:rsidRDefault="00DB3CBC">
      <w:pPr>
        <w:pStyle w:val="ab"/>
        <w:numPr>
          <w:ilvl w:val="2"/>
          <w:numId w:val="6"/>
        </w:numPr>
        <w:adjustRightInd w:val="0"/>
        <w:snapToGrid w:val="0"/>
        <w:spacing w:after="120" w:line="22" w:lineRule="atLeast"/>
        <w:ind w:hanging="363"/>
        <w:rPr>
          <w:sz w:val="20"/>
          <w:szCs w:val="20"/>
        </w:rPr>
      </w:pPr>
      <w:r>
        <w:rPr>
          <w:sz w:val="20"/>
          <w:szCs w:val="20"/>
        </w:rPr>
        <w:t>In case the priorities of LTE and NR SL transmissions are the same, then it is up to UE implementation as to which transmission is chosen (e.g., taking into account congestion, etc.)</w:t>
      </w:r>
    </w:p>
    <w:p w:rsidR="006A0326" w:rsidRDefault="00DB3CBC">
      <w:pPr>
        <w:pStyle w:val="ab"/>
        <w:numPr>
          <w:ilvl w:val="1"/>
          <w:numId w:val="6"/>
        </w:numPr>
        <w:adjustRightInd w:val="0"/>
        <w:snapToGrid w:val="0"/>
        <w:spacing w:after="120" w:line="22" w:lineRule="atLeast"/>
        <w:ind w:hanging="363"/>
        <w:rPr>
          <w:sz w:val="20"/>
          <w:szCs w:val="20"/>
        </w:rPr>
      </w:pPr>
      <w:r>
        <w:rPr>
          <w:sz w:val="20"/>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rsidR="006A0326" w:rsidRDefault="00DB3CBC">
      <w:pPr>
        <w:pStyle w:val="ab"/>
        <w:numPr>
          <w:ilvl w:val="1"/>
          <w:numId w:val="6"/>
        </w:numPr>
        <w:adjustRightInd w:val="0"/>
        <w:snapToGrid w:val="0"/>
        <w:spacing w:before="156" w:after="120" w:line="22" w:lineRule="atLeast"/>
        <w:ind w:hanging="363"/>
        <w:rPr>
          <w:sz w:val="20"/>
          <w:szCs w:val="20"/>
        </w:rPr>
      </w:pPr>
      <w:r>
        <w:rPr>
          <w:sz w:val="20"/>
          <w:szCs w:val="20"/>
        </w:rPr>
        <w:t>RAN1 does not assume any impact to LTE physical layer specifications</w:t>
      </w:r>
    </w:p>
    <w:p w:rsidR="006A0326" w:rsidRDefault="00DB3CBC">
      <w:pPr>
        <w:spacing w:before="120" w:after="120"/>
        <w:rPr>
          <w:sz w:val="20"/>
        </w:rPr>
      </w:pPr>
      <w:r>
        <w:rPr>
          <w:rFonts w:hint="eastAsia"/>
          <w:sz w:val="20"/>
        </w:rPr>
        <w:t>At RAN1 #97 meeting, the working assumption was confirmed as the following agreements [2]:</w:t>
      </w:r>
    </w:p>
    <w:p w:rsidR="006A0326" w:rsidRDefault="00DB3CBC">
      <w:pPr>
        <w:spacing w:before="120" w:after="120"/>
        <w:rPr>
          <w:sz w:val="20"/>
        </w:rPr>
      </w:pPr>
      <w:r>
        <w:rPr>
          <w:sz w:val="20"/>
          <w:highlight w:val="green"/>
        </w:rPr>
        <w:t>Agreements</w:t>
      </w:r>
      <w:r>
        <w:rPr>
          <w:sz w:val="20"/>
        </w:rPr>
        <w:t>:</w:t>
      </w:r>
    </w:p>
    <w:p w:rsidR="006A0326" w:rsidRDefault="00DB3CBC">
      <w:pPr>
        <w:pStyle w:val="ab"/>
        <w:numPr>
          <w:ilvl w:val="0"/>
          <w:numId w:val="6"/>
        </w:numPr>
        <w:spacing w:after="120"/>
        <w:rPr>
          <w:sz w:val="20"/>
          <w:szCs w:val="20"/>
        </w:rPr>
      </w:pPr>
      <w:r>
        <w:rPr>
          <w:sz w:val="20"/>
          <w:szCs w:val="20"/>
        </w:rPr>
        <w:t>For Tx/Tx overlap,</w:t>
      </w:r>
    </w:p>
    <w:p w:rsidR="006A0326" w:rsidRDefault="00DB3CBC">
      <w:pPr>
        <w:pStyle w:val="ab"/>
        <w:numPr>
          <w:ilvl w:val="1"/>
          <w:numId w:val="6"/>
        </w:numPr>
        <w:spacing w:after="120"/>
        <w:rPr>
          <w:sz w:val="20"/>
          <w:szCs w:val="20"/>
        </w:rPr>
      </w:pPr>
      <w:r>
        <w:rPr>
          <w:sz w:val="20"/>
          <w:szCs w:val="20"/>
        </w:rPr>
        <w:t>Confirm the working assumption made in RAN1#96bis</w:t>
      </w:r>
    </w:p>
    <w:p w:rsidR="006A0326" w:rsidRDefault="00DB3CBC">
      <w:pPr>
        <w:pStyle w:val="ab"/>
        <w:numPr>
          <w:ilvl w:val="1"/>
          <w:numId w:val="6"/>
        </w:numPr>
        <w:spacing w:after="120"/>
        <w:rPr>
          <w:sz w:val="20"/>
          <w:szCs w:val="20"/>
        </w:rPr>
      </w:pPr>
      <w:r>
        <w:rPr>
          <w:sz w:val="20"/>
          <w:szCs w:val="20"/>
        </w:rPr>
        <w:t>UE capability is defined for short-term time-scale TDM for in-device coexistence</w:t>
      </w:r>
    </w:p>
    <w:p w:rsidR="006A0326" w:rsidRDefault="00DB3CBC">
      <w:pPr>
        <w:spacing w:before="120" w:after="120"/>
        <w:rPr>
          <w:sz w:val="20"/>
        </w:rPr>
      </w:pPr>
      <w:r>
        <w:rPr>
          <w:sz w:val="20"/>
          <w:highlight w:val="green"/>
        </w:rPr>
        <w:t>Agreements</w:t>
      </w:r>
      <w:r>
        <w:rPr>
          <w:sz w:val="20"/>
        </w:rPr>
        <w:t>:</w:t>
      </w:r>
    </w:p>
    <w:p w:rsidR="006A0326" w:rsidRDefault="00DB3CBC">
      <w:pPr>
        <w:pStyle w:val="ab"/>
        <w:numPr>
          <w:ilvl w:val="0"/>
          <w:numId w:val="6"/>
        </w:numPr>
        <w:spacing w:after="120"/>
        <w:rPr>
          <w:sz w:val="20"/>
          <w:szCs w:val="20"/>
        </w:rPr>
      </w:pPr>
      <w:r>
        <w:rPr>
          <w:sz w:val="20"/>
          <w:szCs w:val="20"/>
        </w:rPr>
        <w:t xml:space="preserve">For Rx/Rx overlap, </w:t>
      </w:r>
    </w:p>
    <w:p w:rsidR="006A0326" w:rsidRDefault="00DB3CBC">
      <w:pPr>
        <w:pStyle w:val="ab"/>
        <w:numPr>
          <w:ilvl w:val="1"/>
          <w:numId w:val="6"/>
        </w:numPr>
        <w:spacing w:after="120"/>
        <w:rPr>
          <w:sz w:val="20"/>
        </w:rPr>
      </w:pPr>
      <w:r>
        <w:rPr>
          <w:sz w:val="20"/>
        </w:rPr>
        <w:t>Up to UE implementation to manage receptions of LTE and NR sidelinks.</w:t>
      </w:r>
    </w:p>
    <w:p w:rsidR="006A0326" w:rsidRDefault="00DB3CBC">
      <w:pPr>
        <w:spacing w:before="120" w:after="120"/>
        <w:rPr>
          <w:sz w:val="20"/>
        </w:rPr>
      </w:pPr>
      <w:r>
        <w:rPr>
          <w:sz w:val="20"/>
        </w:rPr>
        <w:t xml:space="preserve">In this contribution, we will discuss some potential </w:t>
      </w:r>
      <w:r>
        <w:rPr>
          <w:sz w:val="20"/>
          <w:lang w:eastAsia="ko-KR"/>
        </w:rPr>
        <w:t>TDM-based</w:t>
      </w:r>
      <w:r>
        <w:rPr>
          <w:sz w:val="20"/>
        </w:rPr>
        <w:t xml:space="preserve"> solutions about the coexistence </w:t>
      </w:r>
      <w:r>
        <w:rPr>
          <w:sz w:val="20"/>
          <w:lang w:eastAsia="ko-KR"/>
        </w:rPr>
        <w:t>mechanisms</w:t>
      </w:r>
      <w:r>
        <w:rPr>
          <w:sz w:val="20"/>
        </w:rPr>
        <w:t>.</w:t>
      </w:r>
    </w:p>
    <w:p w:rsidR="006A0326" w:rsidRDefault="00DB3CBC">
      <w:pPr>
        <w:pStyle w:val="1"/>
        <w:spacing w:before="120" w:after="120"/>
        <w:ind w:left="0"/>
      </w:pPr>
      <w:r>
        <w:rPr>
          <w:rFonts w:hint="eastAsia"/>
        </w:rPr>
        <w:t>Discussion</w:t>
      </w:r>
      <w:r>
        <w:t>s</w:t>
      </w:r>
      <w:r>
        <w:rPr>
          <w:rFonts w:hint="eastAsia"/>
        </w:rPr>
        <w:t xml:space="preserve"> </w:t>
      </w:r>
    </w:p>
    <w:p w:rsidR="006A0326" w:rsidRDefault="00DB3CBC">
      <w:pPr>
        <w:pStyle w:val="2"/>
        <w:spacing w:before="120" w:after="120"/>
        <w:ind w:left="991" w:right="210" w:hangingChars="354" w:hanging="991"/>
        <w:rPr>
          <w:szCs w:val="22"/>
        </w:rPr>
      </w:pPr>
      <w:r>
        <w:rPr>
          <w:rFonts w:hint="eastAsia"/>
        </w:rPr>
        <w:t>Tx/Tx overlap</w:t>
      </w:r>
    </w:p>
    <w:p w:rsidR="006A0326" w:rsidRDefault="00DB3CBC">
      <w:pPr>
        <w:snapToGrid w:val="0"/>
        <w:spacing w:before="120" w:after="120" w:line="260" w:lineRule="auto"/>
        <w:rPr>
          <w:rFonts w:eastAsia="等线"/>
          <w:sz w:val="20"/>
        </w:rPr>
      </w:pPr>
      <w:r>
        <w:rPr>
          <w:rFonts w:eastAsia="等线" w:hint="eastAsia"/>
          <w:sz w:val="20"/>
        </w:rPr>
        <w:t>For Tx/Tx overlap, the working assumption in RAN1 #96bis was confirmed</w:t>
      </w:r>
      <w:r w:rsidR="008A4814">
        <w:rPr>
          <w:rFonts w:eastAsia="等线"/>
          <w:sz w:val="20"/>
        </w:rPr>
        <w:t xml:space="preserve"> </w:t>
      </w:r>
      <w:r>
        <w:rPr>
          <w:rFonts w:eastAsia="等线" w:hint="eastAsia"/>
          <w:sz w:val="20"/>
        </w:rPr>
        <w:t xml:space="preserve">[2], the rule of which RAT takes priority to transmit is </w:t>
      </w:r>
      <w:r>
        <w:rPr>
          <w:rFonts w:eastAsia="等线"/>
          <w:sz w:val="20"/>
        </w:rPr>
        <w:t>determined</w:t>
      </w:r>
      <w:r>
        <w:rPr>
          <w:rFonts w:eastAsia="等线" w:hint="eastAsia"/>
          <w:sz w:val="20"/>
        </w:rPr>
        <w:t xml:space="preserve">. While the priority level of NR V2X transmission is not defined. </w:t>
      </w:r>
      <w:r>
        <w:rPr>
          <w:rFonts w:hint="eastAsia"/>
          <w:sz w:val="20"/>
        </w:rPr>
        <w:t>In order to make the priority level of NR V2X</w:t>
      </w:r>
      <w:r w:rsidR="0058043F">
        <w:rPr>
          <w:sz w:val="20"/>
        </w:rPr>
        <w:t xml:space="preserve"> </w:t>
      </w:r>
      <w:r>
        <w:rPr>
          <w:rFonts w:hint="eastAsia"/>
          <w:sz w:val="20"/>
        </w:rPr>
        <w:t>comparable with that of LTE V2X, the mapping of priority levels between NR V2X and LTE V2X should be defined.</w:t>
      </w:r>
    </w:p>
    <w:p w:rsidR="006A0326" w:rsidRDefault="00DB3CBC">
      <w:pPr>
        <w:snapToGrid w:val="0"/>
        <w:spacing w:before="120" w:after="120" w:line="260" w:lineRule="auto"/>
        <w:rPr>
          <w:szCs w:val="22"/>
        </w:rPr>
      </w:pPr>
      <w:r>
        <w:rPr>
          <w:rFonts w:eastAsia="等线" w:hint="eastAsia"/>
          <w:sz w:val="20"/>
        </w:rPr>
        <w:t xml:space="preserve">In LTE V2X, sidelink priority is defined </w:t>
      </w:r>
      <w:r w:rsidR="0058043F">
        <w:rPr>
          <w:rFonts w:eastAsia="等线"/>
          <w:sz w:val="20"/>
        </w:rPr>
        <w:t>which</w:t>
      </w:r>
      <w:r w:rsidR="0058043F">
        <w:rPr>
          <w:rFonts w:eastAsia="等线" w:hint="eastAsia"/>
          <w:sz w:val="20"/>
        </w:rPr>
        <w:t xml:space="preserve"> </w:t>
      </w:r>
      <w:r>
        <w:rPr>
          <w:rFonts w:eastAsia="等线" w:hint="eastAsia"/>
          <w:sz w:val="20"/>
        </w:rPr>
        <w:t xml:space="preserve">includes 8 priority levels. The packet priority is indicated in the PSCCH which is related with the packet. In NR V2X, the priority order has not been defined. It may be different with that of LTE V2X. For example, the associated priority of logical channel in NR may be reused and the priority values in NR is not one to one mapping with those in LTE. If so, mapping of priority </w:t>
      </w:r>
      <w:r>
        <w:rPr>
          <w:rFonts w:eastAsia="等线"/>
          <w:sz w:val="20"/>
        </w:rPr>
        <w:t>values</w:t>
      </w:r>
      <w:r>
        <w:rPr>
          <w:rFonts w:eastAsia="等线" w:hint="eastAsia"/>
          <w:sz w:val="20"/>
        </w:rPr>
        <w:t xml:space="preserve"> between NR V2X and LTE V2X should be considered. </w:t>
      </w:r>
    </w:p>
    <w:p w:rsidR="006A0326" w:rsidRDefault="00DB3CBC">
      <w:pPr>
        <w:pStyle w:val="YJ-Proposal"/>
        <w:spacing w:before="120" w:after="120"/>
        <w:rPr>
          <w:lang w:val="en-US" w:eastAsia="zh-CN"/>
        </w:rPr>
      </w:pPr>
      <w:bookmarkStart w:id="0" w:name="_Toc8849"/>
      <w:bookmarkStart w:id="1" w:name="_Toc16400"/>
      <w:bookmarkStart w:id="2" w:name="_Toc7474990"/>
      <w:r>
        <w:rPr>
          <w:rFonts w:hint="eastAsia"/>
          <w:lang w:val="en-US" w:eastAsia="zh-CN"/>
        </w:rPr>
        <w:lastRenderedPageBreak/>
        <w:t>Mapping of priority levels between NR V2X and LTE V2X should be defined if the priority orders are different between the two RATs.</w:t>
      </w:r>
      <w:bookmarkEnd w:id="0"/>
      <w:bookmarkEnd w:id="1"/>
      <w:r>
        <w:rPr>
          <w:rFonts w:hint="eastAsia"/>
          <w:lang w:val="en-US" w:eastAsia="zh-CN"/>
        </w:rPr>
        <w:t xml:space="preserve"> </w:t>
      </w:r>
      <w:bookmarkEnd w:id="2"/>
      <w:r>
        <w:rPr>
          <w:lang w:val="en-US" w:eastAsia="zh-CN"/>
        </w:rPr>
        <w:t xml:space="preserve"> </w:t>
      </w:r>
    </w:p>
    <w:p w:rsidR="006A0326" w:rsidRDefault="00DB3CBC">
      <w:pPr>
        <w:spacing w:before="120" w:after="120"/>
        <w:rPr>
          <w:sz w:val="20"/>
        </w:rPr>
      </w:pPr>
      <w:r>
        <w:rPr>
          <w:rFonts w:hint="eastAsia"/>
          <w:sz w:val="20"/>
        </w:rPr>
        <w:t>For the issue of Tx/Tx overlap, discussed solutions are</w:t>
      </w:r>
      <w:r>
        <w:rPr>
          <w:sz w:val="20"/>
        </w:rPr>
        <w:t xml:space="preserve"> </w:t>
      </w:r>
      <w:r>
        <w:rPr>
          <w:rFonts w:hint="eastAsia"/>
          <w:sz w:val="20"/>
        </w:rPr>
        <w:t>mainly focused on PSCCH/PSSCH transmission which is associated with priority of packet indicated in PSCCH. But in some cases, overlap between PSCCH/PSSCH and other channel, e.g., S-SSB, would exist.</w:t>
      </w:r>
      <w:r w:rsidR="008A4814">
        <w:rPr>
          <w:sz w:val="20"/>
        </w:rPr>
        <w:t xml:space="preserve"> </w:t>
      </w:r>
      <w:r>
        <w:rPr>
          <w:sz w:val="20"/>
        </w:rPr>
        <w:t>For</w:t>
      </w:r>
      <w:r>
        <w:rPr>
          <w:rFonts w:hint="eastAsia"/>
          <w:sz w:val="20"/>
        </w:rPr>
        <w:t xml:space="preserve"> other channels, such as S-SSB, PSFCH, the priorities of </w:t>
      </w:r>
      <w:r w:rsidR="0058043F">
        <w:rPr>
          <w:sz w:val="20"/>
        </w:rPr>
        <w:t>those</w:t>
      </w:r>
      <w:r w:rsidR="0058043F">
        <w:rPr>
          <w:rFonts w:hint="eastAsia"/>
          <w:sz w:val="20"/>
        </w:rPr>
        <w:t xml:space="preserve"> </w:t>
      </w:r>
      <w:r>
        <w:rPr>
          <w:rFonts w:hint="eastAsia"/>
          <w:sz w:val="20"/>
        </w:rPr>
        <w:t>channels</w:t>
      </w:r>
      <w:r>
        <w:rPr>
          <w:sz w:val="20"/>
        </w:rPr>
        <w:t xml:space="preserve"> are currently not</w:t>
      </w:r>
      <w:r>
        <w:rPr>
          <w:rFonts w:hint="eastAsia"/>
          <w:sz w:val="20"/>
        </w:rPr>
        <w:t xml:space="preserve"> considered.  If NR V2X module wants to transmit an S-SSB on one of synchronization resources on a carrier, LTE V2X module </w:t>
      </w:r>
      <w:r>
        <w:rPr>
          <w:sz w:val="20"/>
        </w:rPr>
        <w:t>cannot</w:t>
      </w:r>
      <w:r>
        <w:rPr>
          <w:rFonts w:hint="eastAsia"/>
          <w:sz w:val="20"/>
        </w:rPr>
        <w:t xml:space="preserve"> transmit or receive PSSCH in another carrier because of RF capability or half-duplex constraints. So, for Tx/Tx overlap, coordinated solution should also be considered for S-SSB or PSFCH.  </w:t>
      </w:r>
    </w:p>
    <w:p w:rsidR="006A0326" w:rsidRDefault="00DB3CBC">
      <w:pPr>
        <w:spacing w:before="120" w:after="120"/>
        <w:rPr>
          <w:szCs w:val="22"/>
        </w:rPr>
      </w:pPr>
      <w:r>
        <w:rPr>
          <w:rFonts w:hint="eastAsia"/>
          <w:sz w:val="20"/>
        </w:rPr>
        <w:t xml:space="preserve">As a simple solution, the agreements in RAN1 #97 (corresponding to the working assumption in RAN1 #96bis) can be reused. In another word, priority can be defined for S-SSB and PSFCH. In this way, a unified rule can be applied for both PSCCH/PSSCH and S-SSB, PSFCH.  </w:t>
      </w:r>
    </w:p>
    <w:p w:rsidR="006A0326" w:rsidRDefault="00DB3CBC">
      <w:pPr>
        <w:pStyle w:val="YJ-Proposal"/>
        <w:spacing w:before="120" w:after="120"/>
        <w:rPr>
          <w:szCs w:val="22"/>
          <w:lang w:val="en-US" w:eastAsia="zh-CN"/>
        </w:rPr>
      </w:pPr>
      <w:bookmarkStart w:id="3" w:name="_Toc20006"/>
      <w:bookmarkStart w:id="4" w:name="_Toc16377"/>
      <w:r>
        <w:rPr>
          <w:rFonts w:hint="eastAsia"/>
          <w:szCs w:val="22"/>
          <w:lang w:val="en-US" w:eastAsia="zh-CN"/>
        </w:rPr>
        <w:t>Priority should be considered for S-SSB and PSFCH in case of Tx/Tx overlap.</w:t>
      </w:r>
      <w:bookmarkEnd w:id="3"/>
      <w:bookmarkEnd w:id="4"/>
      <w:r>
        <w:rPr>
          <w:rFonts w:hint="eastAsia"/>
          <w:b w:val="0"/>
          <w:bCs w:val="0"/>
          <w:i w:val="0"/>
          <w:iCs w:val="0"/>
          <w:szCs w:val="22"/>
          <w:lang w:val="en-US" w:eastAsia="zh-CN"/>
        </w:rPr>
        <w:t xml:space="preserve">  </w:t>
      </w:r>
    </w:p>
    <w:p w:rsidR="006A0326" w:rsidRDefault="00DB3CBC">
      <w:pPr>
        <w:pStyle w:val="2"/>
        <w:adjustRightInd w:val="0"/>
        <w:snapToGrid w:val="0"/>
        <w:spacing w:before="120" w:after="120" w:line="260" w:lineRule="auto"/>
        <w:ind w:left="991" w:right="210" w:hangingChars="354" w:hanging="991"/>
      </w:pPr>
      <w:r>
        <w:rPr>
          <w:rFonts w:hint="eastAsia"/>
        </w:rPr>
        <w:t>Tx/Rx overlap</w:t>
      </w:r>
      <w:r>
        <w:rPr>
          <w:rFonts w:hint="eastAsia"/>
          <w:szCs w:val="22"/>
        </w:rPr>
        <w:t xml:space="preserve">   </w:t>
      </w:r>
    </w:p>
    <w:p w:rsidR="006A0326" w:rsidRDefault="00DB3CBC">
      <w:pPr>
        <w:spacing w:before="120" w:after="120" w:line="22" w:lineRule="atLeast"/>
        <w:rPr>
          <w:sz w:val="20"/>
        </w:rPr>
      </w:pPr>
      <w:r>
        <w:rPr>
          <w:sz w:val="20"/>
        </w:rPr>
        <w:t>For the case of Tx/Rx overlap, according</w:t>
      </w:r>
      <w:r>
        <w:rPr>
          <w:rFonts w:hint="eastAsia"/>
          <w:sz w:val="20"/>
        </w:rPr>
        <w:t xml:space="preserve"> to</w:t>
      </w:r>
      <w:r>
        <w:rPr>
          <w:sz w:val="20"/>
        </w:rPr>
        <w:t xml:space="preserve"> </w:t>
      </w:r>
      <w:r>
        <w:rPr>
          <w:rFonts w:hint="eastAsia"/>
          <w:sz w:val="20"/>
        </w:rPr>
        <w:t xml:space="preserve">whether </w:t>
      </w:r>
      <w:r>
        <w:rPr>
          <w:sz w:val="20"/>
        </w:rPr>
        <w:t>the priority of Rx operation can be acquired by the UE</w:t>
      </w:r>
      <w:r>
        <w:rPr>
          <w:rFonts w:hint="eastAsia"/>
          <w:sz w:val="20"/>
        </w:rPr>
        <w:t>, two cases can be considered as follows</w:t>
      </w:r>
      <w:r>
        <w:rPr>
          <w:sz w:val="20"/>
        </w:rPr>
        <w:t xml:space="preserve">. </w:t>
      </w:r>
    </w:p>
    <w:p w:rsidR="006A0326" w:rsidRDefault="00DB3CBC">
      <w:pPr>
        <w:numPr>
          <w:ilvl w:val="0"/>
          <w:numId w:val="7"/>
        </w:numPr>
        <w:adjustRightInd w:val="0"/>
        <w:snapToGrid w:val="0"/>
        <w:spacing w:before="120" w:after="120" w:line="260" w:lineRule="auto"/>
        <w:rPr>
          <w:sz w:val="20"/>
        </w:rPr>
      </w:pPr>
      <w:r>
        <w:rPr>
          <w:rFonts w:hint="eastAsia"/>
          <w:sz w:val="20"/>
        </w:rPr>
        <w:t xml:space="preserve">Case 1: </w:t>
      </w:r>
      <w:r>
        <w:rPr>
          <w:sz w:val="20"/>
        </w:rPr>
        <w:t>packet priorities of both LTE and NR sidelink transmissions are known to both RATs</w:t>
      </w:r>
    </w:p>
    <w:p w:rsidR="006A0326" w:rsidRDefault="00DB3CBC">
      <w:pPr>
        <w:spacing w:before="120" w:after="120" w:line="22" w:lineRule="atLeast"/>
        <w:rPr>
          <w:sz w:val="20"/>
        </w:rPr>
      </w:pPr>
      <w:r>
        <w:rPr>
          <w:rFonts w:hint="eastAsia"/>
          <w:sz w:val="20"/>
        </w:rPr>
        <w:t xml:space="preserve">Similar as the case of Tx/Tx overlap, for Tx/Rx case, one possible solution is to </w:t>
      </w:r>
      <w:r>
        <w:rPr>
          <w:sz w:val="20"/>
        </w:rPr>
        <w:t>perform</w:t>
      </w:r>
      <w:r>
        <w:rPr>
          <w:rFonts w:hint="eastAsia"/>
          <w:sz w:val="20"/>
        </w:rPr>
        <w:t xml:space="preserve"> transmission or reception based on the priorities of packets. In another word, </w:t>
      </w:r>
      <w:r>
        <w:rPr>
          <w:sz w:val="20"/>
        </w:rPr>
        <w:t xml:space="preserve">the packet with a higher priority </w:t>
      </w:r>
      <w:r>
        <w:rPr>
          <w:rFonts w:hint="eastAsia"/>
          <w:sz w:val="20"/>
        </w:rPr>
        <w:t>would be</w:t>
      </w:r>
      <w:r>
        <w:rPr>
          <w:sz w:val="20"/>
        </w:rPr>
        <w:t xml:space="preserve"> transmitted/received</w:t>
      </w:r>
      <w:r>
        <w:rPr>
          <w:rFonts w:hint="eastAsia"/>
          <w:sz w:val="20"/>
        </w:rPr>
        <w:t xml:space="preserve"> if the </w:t>
      </w:r>
      <w:r>
        <w:rPr>
          <w:sz w:val="20"/>
        </w:rPr>
        <w:t>packet priorities of both LTE and NR sidelinks are known</w:t>
      </w:r>
      <w:r>
        <w:rPr>
          <w:rFonts w:hint="eastAsia"/>
          <w:sz w:val="20"/>
        </w:rPr>
        <w:t>.</w:t>
      </w:r>
    </w:p>
    <w:p w:rsidR="006A0326" w:rsidRDefault="00DB3CBC">
      <w:pPr>
        <w:spacing w:before="120" w:after="120" w:line="22" w:lineRule="atLeast"/>
        <w:rPr>
          <w:sz w:val="20"/>
        </w:rPr>
      </w:pPr>
      <w:r>
        <w:rPr>
          <w:rFonts w:hint="eastAsia"/>
          <w:sz w:val="20"/>
        </w:rPr>
        <w:t xml:space="preserve">However, in this way, some issues should be considered. </w:t>
      </w:r>
      <w:r w:rsidR="0058043F">
        <w:rPr>
          <w:sz w:val="20"/>
        </w:rPr>
        <w:t>O</w:t>
      </w:r>
      <w:r>
        <w:rPr>
          <w:rFonts w:hint="eastAsia"/>
          <w:sz w:val="20"/>
        </w:rPr>
        <w:t>ne case should be noted</w:t>
      </w:r>
      <w:r w:rsidR="00693244">
        <w:rPr>
          <w:sz w:val="20"/>
        </w:rPr>
        <w:t xml:space="preserve"> is</w:t>
      </w:r>
      <w:r>
        <w:rPr>
          <w:rFonts w:hint="eastAsia"/>
          <w:sz w:val="20"/>
        </w:rPr>
        <w:t xml:space="preserve"> that one sidelink Tx may be overlapped with multiple sidelink Rxs. The priority of Tx may </w:t>
      </w:r>
      <w:r w:rsidR="00693244">
        <w:rPr>
          <w:sz w:val="20"/>
        </w:rPr>
        <w:t xml:space="preserve">have to </w:t>
      </w:r>
      <w:r>
        <w:rPr>
          <w:rFonts w:hint="eastAsia"/>
          <w:sz w:val="20"/>
        </w:rPr>
        <w:t xml:space="preserve">be compared with the highest priority of Rs. This </w:t>
      </w:r>
      <w:r w:rsidR="00693244">
        <w:rPr>
          <w:sz w:val="20"/>
        </w:rPr>
        <w:t>could</w:t>
      </w:r>
      <w:r w:rsidR="00693244">
        <w:rPr>
          <w:rFonts w:hint="eastAsia"/>
          <w:sz w:val="20"/>
        </w:rPr>
        <w:t xml:space="preserve"> </w:t>
      </w:r>
      <w:r>
        <w:rPr>
          <w:rFonts w:hint="eastAsia"/>
          <w:sz w:val="20"/>
        </w:rPr>
        <w:t xml:space="preserve">result that the Rxs would often </w:t>
      </w:r>
      <w:r w:rsidR="00693244">
        <w:rPr>
          <w:sz w:val="20"/>
        </w:rPr>
        <w:t>has</w:t>
      </w:r>
      <w:r w:rsidR="00693244">
        <w:rPr>
          <w:rFonts w:hint="eastAsia"/>
          <w:sz w:val="20"/>
        </w:rPr>
        <w:t xml:space="preserve"> </w:t>
      </w:r>
      <w:r>
        <w:rPr>
          <w:rFonts w:hint="eastAsia"/>
          <w:sz w:val="20"/>
        </w:rPr>
        <w:t>high</w:t>
      </w:r>
      <w:r w:rsidR="00693244">
        <w:rPr>
          <w:sz w:val="20"/>
        </w:rPr>
        <w:t>er</w:t>
      </w:r>
      <w:r>
        <w:rPr>
          <w:rFonts w:hint="eastAsia"/>
          <w:sz w:val="20"/>
        </w:rPr>
        <w:t xml:space="preserve"> priority </w:t>
      </w:r>
      <w:r w:rsidR="00693244">
        <w:rPr>
          <w:sz w:val="20"/>
        </w:rPr>
        <w:t>than</w:t>
      </w:r>
      <w:r w:rsidR="00693244">
        <w:rPr>
          <w:rFonts w:hint="eastAsia"/>
          <w:sz w:val="20"/>
        </w:rPr>
        <w:t xml:space="preserve"> </w:t>
      </w:r>
      <w:r>
        <w:rPr>
          <w:rFonts w:hint="eastAsia"/>
          <w:sz w:val="20"/>
        </w:rPr>
        <w:t xml:space="preserve">the Tx. </w:t>
      </w:r>
      <w:r w:rsidR="00693244">
        <w:rPr>
          <w:sz w:val="20"/>
        </w:rPr>
        <w:t xml:space="preserve"> This is </w:t>
      </w:r>
      <w:r>
        <w:rPr>
          <w:rFonts w:hint="eastAsia"/>
          <w:sz w:val="20"/>
        </w:rPr>
        <w:t xml:space="preserve">unfair </w:t>
      </w:r>
      <w:r w:rsidR="00693244">
        <w:rPr>
          <w:sz w:val="20"/>
        </w:rPr>
        <w:t xml:space="preserve">in the sense that </w:t>
      </w:r>
      <w:r>
        <w:rPr>
          <w:rFonts w:hint="eastAsia"/>
          <w:sz w:val="20"/>
        </w:rPr>
        <w:t>sidelink Tx</w:t>
      </w:r>
      <w:r w:rsidR="00693244">
        <w:rPr>
          <w:sz w:val="20"/>
        </w:rPr>
        <w:t xml:space="preserve"> may not have opportunity to transmit in a long period of time</w:t>
      </w:r>
      <w:r>
        <w:rPr>
          <w:rFonts w:hint="eastAsia"/>
          <w:sz w:val="20"/>
        </w:rPr>
        <w:t xml:space="preserve">. </w:t>
      </w:r>
      <w:r w:rsidR="002F111A">
        <w:rPr>
          <w:sz w:val="20"/>
        </w:rPr>
        <w:t>Another example is</w:t>
      </w:r>
      <w:r w:rsidR="002F111A">
        <w:rPr>
          <w:rFonts w:hint="eastAsia"/>
          <w:sz w:val="20"/>
        </w:rPr>
        <w:t xml:space="preserve"> </w:t>
      </w:r>
      <w:r>
        <w:rPr>
          <w:rFonts w:hint="eastAsia"/>
          <w:sz w:val="20"/>
        </w:rPr>
        <w:t xml:space="preserve">if one UE </w:t>
      </w:r>
      <w:r w:rsidR="002F111A">
        <w:rPr>
          <w:sz w:val="20"/>
        </w:rPr>
        <w:t>needs</w:t>
      </w:r>
      <w:r w:rsidR="002F111A">
        <w:rPr>
          <w:rFonts w:hint="eastAsia"/>
          <w:sz w:val="20"/>
        </w:rPr>
        <w:t xml:space="preserve"> </w:t>
      </w:r>
      <w:r>
        <w:rPr>
          <w:rFonts w:hint="eastAsia"/>
          <w:sz w:val="20"/>
        </w:rPr>
        <w:t xml:space="preserve">to receive a PSSCH which is indicated by a previous PSCCH based, </w:t>
      </w:r>
      <w:r w:rsidR="002F111A">
        <w:rPr>
          <w:sz w:val="20"/>
        </w:rPr>
        <w:t>if p</w:t>
      </w:r>
      <w:r w:rsidR="00905AB7">
        <w:rPr>
          <w:sz w:val="20"/>
        </w:rPr>
        <w:t xml:space="preserve">riorities need to be followed, </w:t>
      </w:r>
      <w:bookmarkStart w:id="5" w:name="_GoBack"/>
      <w:bookmarkEnd w:id="5"/>
      <w:r w:rsidR="002F111A">
        <w:rPr>
          <w:sz w:val="20"/>
        </w:rPr>
        <w:t xml:space="preserve">it could happen that </w:t>
      </w:r>
      <w:r>
        <w:rPr>
          <w:rFonts w:hint="eastAsia"/>
          <w:sz w:val="20"/>
        </w:rPr>
        <w:t>the UE would drop its PSSCH transmission with lower priority</w:t>
      </w:r>
      <w:r w:rsidR="008A657C">
        <w:rPr>
          <w:sz w:val="20"/>
        </w:rPr>
        <w:t>, which results in wasted resources</w:t>
      </w:r>
      <w:r>
        <w:rPr>
          <w:rFonts w:hint="eastAsia"/>
          <w:sz w:val="20"/>
        </w:rPr>
        <w:t xml:space="preserve">. Regarding to these issues, we think it is reasonable to </w:t>
      </w:r>
      <w:r>
        <w:rPr>
          <w:sz w:val="20"/>
        </w:rPr>
        <w:t>leave</w:t>
      </w:r>
      <w:r>
        <w:rPr>
          <w:rFonts w:hint="eastAsia"/>
          <w:sz w:val="20"/>
        </w:rPr>
        <w:t xml:space="preserve"> case of the Tx/Rx overlap </w:t>
      </w:r>
      <w:r w:rsidR="008A657C">
        <w:rPr>
          <w:sz w:val="20"/>
        </w:rPr>
        <w:t>when</w:t>
      </w:r>
      <w:r>
        <w:rPr>
          <w:rFonts w:hint="eastAsia"/>
          <w:sz w:val="20"/>
        </w:rPr>
        <w:t xml:space="preserve"> </w:t>
      </w:r>
      <w:r>
        <w:rPr>
          <w:sz w:val="20"/>
        </w:rPr>
        <w:t>packet priorities of both LTE and NR sidelink transmissions are known to both RATs</w:t>
      </w:r>
      <w:r>
        <w:rPr>
          <w:rFonts w:hint="eastAsia"/>
          <w:sz w:val="20"/>
        </w:rPr>
        <w:t xml:space="preserve"> to UE implementation. </w:t>
      </w:r>
    </w:p>
    <w:p w:rsidR="006A0326" w:rsidRDefault="00DB3CBC">
      <w:pPr>
        <w:pStyle w:val="YJ-Proposal"/>
        <w:spacing w:before="120" w:after="120"/>
        <w:rPr>
          <w:szCs w:val="22"/>
          <w:lang w:val="en-US" w:eastAsia="zh-CN"/>
        </w:rPr>
      </w:pPr>
      <w:bookmarkStart w:id="6" w:name="_Toc13967"/>
      <w:bookmarkStart w:id="7" w:name="_Toc23622"/>
      <w:r>
        <w:rPr>
          <w:rFonts w:hint="eastAsia"/>
          <w:szCs w:val="22"/>
          <w:lang w:val="en-US" w:eastAsia="zh-CN"/>
        </w:rPr>
        <w:t xml:space="preserve">It is up to </w:t>
      </w:r>
      <w:r>
        <w:rPr>
          <w:rFonts w:hint="eastAsia"/>
          <w:szCs w:val="22"/>
        </w:rPr>
        <w:t>UE implementation to manage Tx/</w:t>
      </w:r>
      <w:r>
        <w:rPr>
          <w:rFonts w:hint="eastAsia"/>
          <w:szCs w:val="22"/>
          <w:lang w:val="en-US" w:eastAsia="zh-CN"/>
        </w:rPr>
        <w:t>R</w:t>
      </w:r>
      <w:r>
        <w:rPr>
          <w:rFonts w:hint="eastAsia"/>
          <w:szCs w:val="22"/>
        </w:rPr>
        <w:t>x overlaps</w:t>
      </w:r>
      <w:r>
        <w:rPr>
          <w:rFonts w:hint="eastAsia"/>
          <w:szCs w:val="22"/>
          <w:lang w:val="en-US" w:eastAsia="zh-CN"/>
        </w:rPr>
        <w:t xml:space="preserve"> if the packet priorities of both RATs are known.</w:t>
      </w:r>
      <w:bookmarkEnd w:id="6"/>
      <w:bookmarkEnd w:id="7"/>
    </w:p>
    <w:p w:rsidR="006A0326" w:rsidRDefault="00DB3CBC">
      <w:pPr>
        <w:numPr>
          <w:ilvl w:val="0"/>
          <w:numId w:val="7"/>
        </w:numPr>
        <w:adjustRightInd w:val="0"/>
        <w:snapToGrid w:val="0"/>
        <w:spacing w:before="120" w:after="120" w:line="260" w:lineRule="auto"/>
        <w:rPr>
          <w:sz w:val="20"/>
        </w:rPr>
      </w:pPr>
      <w:r>
        <w:rPr>
          <w:rFonts w:hint="eastAsia"/>
          <w:sz w:val="20"/>
        </w:rPr>
        <w:t xml:space="preserve">Case 2: </w:t>
      </w:r>
      <w:r>
        <w:rPr>
          <w:sz w:val="20"/>
        </w:rPr>
        <w:t xml:space="preserve">packet priorities of both LTE and NR sidelink transmissions are not known to </w:t>
      </w:r>
      <w:r>
        <w:rPr>
          <w:rFonts w:hint="eastAsia"/>
          <w:sz w:val="20"/>
        </w:rPr>
        <w:t>each</w:t>
      </w:r>
      <w:r>
        <w:rPr>
          <w:sz w:val="20"/>
        </w:rPr>
        <w:t xml:space="preserve"> RAT</w:t>
      </w:r>
      <w:r>
        <w:rPr>
          <w:rFonts w:hint="eastAsia"/>
          <w:sz w:val="20"/>
        </w:rPr>
        <w:t xml:space="preserve"> </w:t>
      </w:r>
    </w:p>
    <w:p w:rsidR="006A0326" w:rsidRDefault="00DB3CBC">
      <w:pPr>
        <w:spacing w:before="120" w:after="120" w:line="22" w:lineRule="atLeast"/>
        <w:rPr>
          <w:sz w:val="20"/>
        </w:rPr>
      </w:pPr>
      <w:r>
        <w:rPr>
          <w:rFonts w:hint="eastAsia"/>
          <w:sz w:val="20"/>
        </w:rPr>
        <w:t xml:space="preserve">In this case, if one RAT (e.g., NR sidelink) has packet to be transmitted, the UE may not know whether there is packet for receiving or the packet priority of Rx in the other RAT (e.g., LTE sidelink). In the case, dropping a certain Tx because of an uncertain Rx seems unreasonable. In other words, Tx should </w:t>
      </w:r>
      <w:r w:rsidR="002F111A">
        <w:rPr>
          <w:sz w:val="20"/>
        </w:rPr>
        <w:t>have</w:t>
      </w:r>
      <w:r w:rsidR="002F111A">
        <w:rPr>
          <w:rFonts w:hint="eastAsia"/>
          <w:sz w:val="20"/>
        </w:rPr>
        <w:t xml:space="preserve"> </w:t>
      </w:r>
      <w:r>
        <w:rPr>
          <w:rFonts w:hint="eastAsia"/>
          <w:sz w:val="20"/>
        </w:rPr>
        <w:t xml:space="preserve">priority if the priority of Rx is not known. </w:t>
      </w:r>
    </w:p>
    <w:p w:rsidR="006A0326" w:rsidRDefault="00DB3CBC">
      <w:pPr>
        <w:pStyle w:val="YJ-Proposal"/>
        <w:spacing w:before="120" w:after="120"/>
        <w:rPr>
          <w:rFonts w:eastAsia="宋体"/>
          <w:b w:val="0"/>
          <w:bCs w:val="0"/>
          <w:i w:val="0"/>
          <w:iCs w:val="0"/>
          <w:szCs w:val="22"/>
          <w:lang w:val="en-US" w:eastAsia="zh-CN"/>
        </w:rPr>
      </w:pPr>
      <w:bookmarkStart w:id="8" w:name="_Toc6151"/>
      <w:bookmarkStart w:id="9" w:name="_Toc9970"/>
      <w:r>
        <w:rPr>
          <w:rFonts w:hint="eastAsia"/>
          <w:szCs w:val="22"/>
          <w:lang w:val="en-US" w:eastAsia="zh-CN"/>
        </w:rPr>
        <w:t xml:space="preserve">Tx </w:t>
      </w:r>
      <w:r w:rsidR="002F111A">
        <w:t>shall have priority</w:t>
      </w:r>
      <w:r>
        <w:rPr>
          <w:rFonts w:hint="eastAsia"/>
          <w:lang w:val="en-US" w:eastAsia="zh-CN"/>
        </w:rPr>
        <w:t>y</w:t>
      </w:r>
      <w:r>
        <w:rPr>
          <w:rFonts w:hint="eastAsia"/>
          <w:szCs w:val="22"/>
          <w:lang w:val="en-US" w:eastAsia="zh-CN"/>
        </w:rPr>
        <w:t xml:space="preserve"> over Rx if the packet priority of one or both RATs are not known.</w:t>
      </w:r>
      <w:bookmarkEnd w:id="8"/>
      <w:bookmarkEnd w:id="9"/>
    </w:p>
    <w:p w:rsidR="006A0326" w:rsidRDefault="00DB3CBC">
      <w:pPr>
        <w:pStyle w:val="1"/>
        <w:spacing w:before="120" w:after="120"/>
        <w:ind w:left="0"/>
        <w:rPr>
          <w:rFonts w:eastAsia="宋体"/>
        </w:rPr>
      </w:pPr>
      <w:r>
        <w:rPr>
          <w:rFonts w:eastAsia="宋体" w:hint="eastAsia"/>
        </w:rPr>
        <w:t>Conclusion</w:t>
      </w:r>
    </w:p>
    <w:p w:rsidR="006A0326" w:rsidRDefault="00DB3CBC">
      <w:pPr>
        <w:spacing w:before="120" w:after="120"/>
        <w:rPr>
          <w:szCs w:val="22"/>
        </w:rPr>
      </w:pPr>
      <w:r>
        <w:rPr>
          <w:sz w:val="20"/>
        </w:rPr>
        <w:t>This contribution concludes with the following proposals:</w:t>
      </w:r>
    </w:p>
    <w:p w:rsidR="006A0326" w:rsidRDefault="00DB3CBC">
      <w:pPr>
        <w:pStyle w:val="10"/>
        <w:tabs>
          <w:tab w:val="right" w:leader="dot" w:pos="9660"/>
        </w:tabs>
        <w:spacing w:before="120" w:after="120"/>
      </w:pPr>
      <w:r>
        <w:rPr>
          <w:szCs w:val="22"/>
        </w:rPr>
        <w:fldChar w:fldCharType="begin"/>
      </w:r>
      <w:r>
        <w:rPr>
          <w:szCs w:val="22"/>
        </w:rPr>
        <w:instrText>TOC \n  \t "YJ-Proposal,1,sub-proposal,2" \h</w:instrText>
      </w:r>
      <w:r>
        <w:rPr>
          <w:szCs w:val="22"/>
        </w:rPr>
        <w:fldChar w:fldCharType="separate"/>
      </w:r>
      <w:hyperlink w:anchor="_Toc16400" w:history="1">
        <w:r>
          <w:rPr>
            <w:rFonts w:eastAsia="宋体"/>
            <w:bCs/>
            <w:iCs/>
          </w:rPr>
          <w:t xml:space="preserve">Proposal 1: </w:t>
        </w:r>
        <w:r>
          <w:rPr>
            <w:rFonts w:hint="eastAsia"/>
          </w:rPr>
          <w:t>Mapping of priority levels between NR V2X and LTE V2X should be defined if the priority orders are different between the two RATs.</w:t>
        </w:r>
      </w:hyperlink>
    </w:p>
    <w:p w:rsidR="006A0326" w:rsidRDefault="004E6C2C">
      <w:pPr>
        <w:pStyle w:val="10"/>
        <w:tabs>
          <w:tab w:val="right" w:leader="dot" w:pos="9660"/>
        </w:tabs>
        <w:spacing w:before="120" w:after="120"/>
      </w:pPr>
      <w:hyperlink w:anchor="_Toc16377" w:history="1">
        <w:r w:rsidR="00DB3CBC">
          <w:rPr>
            <w:rFonts w:eastAsia="宋体"/>
            <w:bCs/>
            <w:iCs/>
            <w:szCs w:val="22"/>
          </w:rPr>
          <w:t xml:space="preserve">Proposal 2: </w:t>
        </w:r>
        <w:r w:rsidR="00DB3CBC">
          <w:rPr>
            <w:rFonts w:hint="eastAsia"/>
            <w:szCs w:val="22"/>
          </w:rPr>
          <w:t>Priority should be considered for S-SSB and PSFCH in case of Tx/Tx overlap.</w:t>
        </w:r>
      </w:hyperlink>
    </w:p>
    <w:p w:rsidR="006A0326" w:rsidRDefault="004E6C2C">
      <w:pPr>
        <w:pStyle w:val="10"/>
        <w:tabs>
          <w:tab w:val="right" w:leader="dot" w:pos="9660"/>
        </w:tabs>
        <w:spacing w:before="120" w:after="120"/>
      </w:pPr>
      <w:hyperlink w:anchor="_Toc23622" w:history="1">
        <w:r w:rsidR="00DB3CBC">
          <w:rPr>
            <w:rFonts w:eastAsia="宋体"/>
            <w:bCs/>
            <w:iCs/>
            <w:szCs w:val="22"/>
          </w:rPr>
          <w:t xml:space="preserve">Proposal 3: </w:t>
        </w:r>
        <w:r w:rsidR="00DB3CBC">
          <w:rPr>
            <w:rFonts w:hint="eastAsia"/>
            <w:szCs w:val="22"/>
          </w:rPr>
          <w:t>It is up to UE implementation to manage Tx/Rx overlaps if the packet priorities of both RATs are known.</w:t>
        </w:r>
      </w:hyperlink>
    </w:p>
    <w:p w:rsidR="006A0326" w:rsidRDefault="004E6C2C">
      <w:pPr>
        <w:pStyle w:val="10"/>
        <w:tabs>
          <w:tab w:val="right" w:leader="dot" w:pos="9660"/>
        </w:tabs>
        <w:spacing w:before="120" w:after="120"/>
      </w:pPr>
      <w:hyperlink w:anchor="_Toc9970" w:history="1">
        <w:r w:rsidR="00DB3CBC">
          <w:rPr>
            <w:rFonts w:eastAsia="宋体"/>
            <w:bCs/>
            <w:iCs/>
            <w:szCs w:val="22"/>
          </w:rPr>
          <w:t xml:space="preserve">Proposal 4: </w:t>
        </w:r>
        <w:r w:rsidR="00DB3CBC">
          <w:rPr>
            <w:rFonts w:hint="eastAsia"/>
            <w:szCs w:val="22"/>
          </w:rPr>
          <w:t xml:space="preserve">Tx </w:t>
        </w:r>
        <w:r w:rsidR="002F111A">
          <w:t xml:space="preserve">shall have </w:t>
        </w:r>
        <w:r w:rsidR="00DB3CBC">
          <w:rPr>
            <w:rFonts w:hint="eastAsia"/>
          </w:rPr>
          <w:t>priority</w:t>
        </w:r>
        <w:r w:rsidR="00DB3CBC">
          <w:rPr>
            <w:rFonts w:hint="eastAsia"/>
            <w:szCs w:val="22"/>
          </w:rPr>
          <w:t xml:space="preserve"> over Rx if the packet priority of one or both RATs are not known.</w:t>
        </w:r>
      </w:hyperlink>
    </w:p>
    <w:p w:rsidR="006A0326" w:rsidRDefault="00DB3CBC">
      <w:pPr>
        <w:spacing w:before="120" w:after="120"/>
      </w:pPr>
      <w:r>
        <w:fldChar w:fldCharType="end"/>
      </w:r>
    </w:p>
    <w:p w:rsidR="006A0326" w:rsidRDefault="00DB3CBC">
      <w:pPr>
        <w:pStyle w:val="1"/>
        <w:spacing w:before="120" w:after="120"/>
        <w:ind w:left="0"/>
        <w:rPr>
          <w:rFonts w:eastAsia="宋体"/>
        </w:rPr>
      </w:pPr>
      <w:r>
        <w:rPr>
          <w:rFonts w:eastAsia="宋体" w:hint="eastAsia"/>
        </w:rPr>
        <w:lastRenderedPageBreak/>
        <w:t>Reference</w:t>
      </w:r>
      <w:r>
        <w:rPr>
          <w:rFonts w:eastAsia="宋体"/>
        </w:rPr>
        <w:t>s</w:t>
      </w:r>
    </w:p>
    <w:p w:rsidR="006A0326" w:rsidRDefault="00DB3CBC">
      <w:pPr>
        <w:pStyle w:val="References"/>
        <w:spacing w:before="120" w:after="120"/>
        <w:rPr>
          <w:sz w:val="20"/>
          <w:szCs w:val="20"/>
        </w:rPr>
      </w:pPr>
      <w:bookmarkStart w:id="10" w:name="_Ref31645"/>
      <w:bookmarkStart w:id="11" w:name="_Ref17466"/>
      <w:r>
        <w:rPr>
          <w:rFonts w:hint="eastAsia"/>
          <w:sz w:val="20"/>
          <w:szCs w:val="20"/>
        </w:rPr>
        <w:t xml:space="preserve"> </w:t>
      </w:r>
      <w:bookmarkEnd w:id="10"/>
      <w:r>
        <w:rPr>
          <w:rFonts w:hint="eastAsia"/>
          <w:sz w:val="20"/>
          <w:szCs w:val="20"/>
          <w:lang w:eastAsia="ja-JP"/>
        </w:rPr>
        <w:t>Chairman's Notes RAN1 9</w:t>
      </w:r>
      <w:r>
        <w:rPr>
          <w:rFonts w:hint="eastAsia"/>
          <w:sz w:val="20"/>
          <w:szCs w:val="20"/>
        </w:rPr>
        <w:t xml:space="preserve">6bis, </w:t>
      </w:r>
      <w:r>
        <w:rPr>
          <w:rFonts w:hint="eastAsia"/>
          <w:sz w:val="20"/>
          <w:szCs w:val="20"/>
          <w:lang w:eastAsia="ja-JP"/>
        </w:rPr>
        <w:t>Xi</w:t>
      </w:r>
      <w:r>
        <w:rPr>
          <w:sz w:val="20"/>
          <w:szCs w:val="20"/>
        </w:rPr>
        <w:t>’</w:t>
      </w:r>
      <w:r>
        <w:rPr>
          <w:rFonts w:hint="eastAsia"/>
          <w:sz w:val="20"/>
          <w:szCs w:val="20"/>
          <w:lang w:eastAsia="ja-JP"/>
        </w:rPr>
        <w:t>an, China, 8</w:t>
      </w:r>
      <w:r>
        <w:rPr>
          <w:rFonts w:hint="eastAsia"/>
          <w:sz w:val="20"/>
          <w:szCs w:val="20"/>
          <w:vertAlign w:val="superscript"/>
          <w:lang w:eastAsia="ja-JP"/>
        </w:rPr>
        <w:t>th</w:t>
      </w:r>
      <w:r>
        <w:rPr>
          <w:rFonts w:hint="eastAsia"/>
          <w:sz w:val="20"/>
          <w:szCs w:val="20"/>
          <w:lang w:eastAsia="ja-JP"/>
        </w:rPr>
        <w:t xml:space="preserve"> </w:t>
      </w:r>
      <w:r>
        <w:rPr>
          <w:rFonts w:hint="eastAsia"/>
          <w:sz w:val="20"/>
          <w:szCs w:val="20"/>
        </w:rPr>
        <w:t>-</w:t>
      </w:r>
      <w:r>
        <w:rPr>
          <w:rFonts w:hint="eastAsia"/>
          <w:sz w:val="20"/>
          <w:szCs w:val="20"/>
          <w:lang w:eastAsia="ja-JP"/>
        </w:rPr>
        <w:t xml:space="preserve"> 12</w:t>
      </w:r>
      <w:r>
        <w:rPr>
          <w:rFonts w:hint="eastAsia"/>
          <w:sz w:val="20"/>
          <w:szCs w:val="20"/>
          <w:vertAlign w:val="superscript"/>
          <w:lang w:eastAsia="ja-JP"/>
        </w:rPr>
        <w:t>th</w:t>
      </w:r>
      <w:r>
        <w:rPr>
          <w:rFonts w:hint="eastAsia"/>
          <w:sz w:val="20"/>
          <w:szCs w:val="20"/>
          <w:lang w:eastAsia="ja-JP"/>
        </w:rPr>
        <w:t xml:space="preserve"> April, 2019</w:t>
      </w:r>
      <w:r>
        <w:rPr>
          <w:rFonts w:hint="eastAsia"/>
          <w:sz w:val="20"/>
          <w:szCs w:val="20"/>
        </w:rPr>
        <w:t>.</w:t>
      </w:r>
    </w:p>
    <w:p w:rsidR="006A0326" w:rsidRDefault="00DB3CBC">
      <w:pPr>
        <w:pStyle w:val="References"/>
        <w:spacing w:before="120" w:after="120"/>
        <w:rPr>
          <w:sz w:val="20"/>
          <w:szCs w:val="20"/>
        </w:rPr>
      </w:pPr>
      <w:bookmarkStart w:id="12" w:name="_Ref8297"/>
      <w:bookmarkEnd w:id="11"/>
      <w:r>
        <w:rPr>
          <w:rFonts w:hint="eastAsia"/>
          <w:sz w:val="20"/>
          <w:szCs w:val="20"/>
        </w:rPr>
        <w:t xml:space="preserve"> </w:t>
      </w:r>
      <w:bookmarkEnd w:id="12"/>
      <w:r>
        <w:rPr>
          <w:rFonts w:hint="eastAsia"/>
          <w:sz w:val="20"/>
          <w:szCs w:val="20"/>
          <w:lang w:eastAsia="ja-JP"/>
        </w:rPr>
        <w:t>Chairman's Notes RAN1 9</w:t>
      </w:r>
      <w:r>
        <w:rPr>
          <w:rFonts w:hint="eastAsia"/>
          <w:sz w:val="20"/>
          <w:szCs w:val="20"/>
        </w:rPr>
        <w:t xml:space="preserve">7, </w:t>
      </w:r>
      <w:r>
        <w:rPr>
          <w:rFonts w:hint="eastAsia"/>
          <w:sz w:val="20"/>
          <w:szCs w:val="20"/>
          <w:lang w:eastAsia="ja-JP"/>
        </w:rPr>
        <w:t>Reno, USA, 13</w:t>
      </w:r>
      <w:r>
        <w:rPr>
          <w:rFonts w:hint="eastAsia"/>
          <w:sz w:val="20"/>
          <w:szCs w:val="20"/>
          <w:vertAlign w:val="superscript"/>
          <w:lang w:eastAsia="ja-JP"/>
        </w:rPr>
        <w:t>th</w:t>
      </w:r>
      <w:r>
        <w:rPr>
          <w:rFonts w:hint="eastAsia"/>
          <w:sz w:val="20"/>
          <w:szCs w:val="20"/>
          <w:lang w:eastAsia="ja-JP"/>
        </w:rPr>
        <w:t xml:space="preserve"> </w:t>
      </w:r>
      <w:r>
        <w:rPr>
          <w:rFonts w:hint="eastAsia"/>
          <w:sz w:val="20"/>
          <w:szCs w:val="20"/>
          <w:lang w:eastAsia="ja-JP"/>
        </w:rPr>
        <w:t>–</w:t>
      </w:r>
      <w:r>
        <w:rPr>
          <w:rFonts w:hint="eastAsia"/>
          <w:sz w:val="20"/>
          <w:szCs w:val="20"/>
          <w:lang w:eastAsia="ja-JP"/>
        </w:rPr>
        <w:t xml:space="preserve"> 17</w:t>
      </w:r>
      <w:r>
        <w:rPr>
          <w:rFonts w:hint="eastAsia"/>
          <w:sz w:val="20"/>
          <w:szCs w:val="20"/>
          <w:vertAlign w:val="superscript"/>
          <w:lang w:eastAsia="ja-JP"/>
        </w:rPr>
        <w:t>th</w:t>
      </w:r>
      <w:r>
        <w:rPr>
          <w:rFonts w:hint="eastAsia"/>
          <w:sz w:val="20"/>
          <w:szCs w:val="20"/>
          <w:lang w:eastAsia="ja-JP"/>
        </w:rPr>
        <w:t>, May 2019.</w:t>
      </w:r>
    </w:p>
    <w:p w:rsidR="006A0326" w:rsidRDefault="006A0326">
      <w:pPr>
        <w:pStyle w:val="References"/>
        <w:numPr>
          <w:ilvl w:val="255"/>
          <w:numId w:val="0"/>
        </w:numPr>
        <w:spacing w:before="120" w:after="120"/>
        <w:rPr>
          <w:rFonts w:ascii="Arial" w:hAnsi="Arial" w:cs="Arial"/>
          <w:bCs/>
          <w:sz w:val="20"/>
          <w:szCs w:val="20"/>
        </w:rPr>
      </w:pPr>
    </w:p>
    <w:sectPr w:rsidR="006A0326">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C2C" w:rsidRDefault="004E6C2C">
      <w:pPr>
        <w:spacing w:before="120" w:after="120" w:line="240" w:lineRule="auto"/>
      </w:pPr>
      <w:r>
        <w:separator/>
      </w:r>
    </w:p>
  </w:endnote>
  <w:endnote w:type="continuationSeparator" w:id="0">
    <w:p w:rsidR="004E6C2C" w:rsidRDefault="004E6C2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26" w:rsidRDefault="006A0326">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26" w:rsidRDefault="00DB3CBC">
    <w:pPr>
      <w:pStyle w:val="a6"/>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0326" w:rsidRDefault="00DB3CBC">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905AB7">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A0326" w:rsidRDefault="00DB3CBC">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905AB7">
                      <w:rPr>
                        <w:noProof/>
                      </w:rPr>
                      <w:t>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26" w:rsidRDefault="006A0326">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C2C" w:rsidRDefault="004E6C2C">
      <w:pPr>
        <w:spacing w:before="120" w:after="120" w:line="240" w:lineRule="auto"/>
      </w:pPr>
      <w:r>
        <w:separator/>
      </w:r>
    </w:p>
  </w:footnote>
  <w:footnote w:type="continuationSeparator" w:id="0">
    <w:p w:rsidR="004E6C2C" w:rsidRDefault="004E6C2C">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26" w:rsidRDefault="006A0326">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26" w:rsidRDefault="006A0326">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26" w:rsidRDefault="006A0326">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23D140"/>
    <w:multiLevelType w:val="singleLevel"/>
    <w:tmpl w:val="B223D140"/>
    <w:lvl w:ilvl="0">
      <w:start w:val="1"/>
      <w:numFmt w:val="bullet"/>
      <w:lvlText w:val=""/>
      <w:lvlJc w:val="left"/>
      <w:pPr>
        <w:ind w:left="420" w:hanging="420"/>
      </w:pPr>
      <w:rPr>
        <w:rFonts w:ascii="Wingdings" w:hAnsi="Wingdings" w:hint="default"/>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BB035F7"/>
    <w:multiLevelType w:val="multilevel"/>
    <w:tmpl w:val="5BB03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60B"/>
    <w:rsid w:val="00064696"/>
    <w:rsid w:val="00131323"/>
    <w:rsid w:val="00172A27"/>
    <w:rsid w:val="002B1235"/>
    <w:rsid w:val="002F111A"/>
    <w:rsid w:val="003A5F3F"/>
    <w:rsid w:val="003F6737"/>
    <w:rsid w:val="0044683C"/>
    <w:rsid w:val="004E6C2C"/>
    <w:rsid w:val="0058043F"/>
    <w:rsid w:val="005B065E"/>
    <w:rsid w:val="00693244"/>
    <w:rsid w:val="006A0326"/>
    <w:rsid w:val="008A4814"/>
    <w:rsid w:val="008A657C"/>
    <w:rsid w:val="008F1090"/>
    <w:rsid w:val="00905AB7"/>
    <w:rsid w:val="009307D3"/>
    <w:rsid w:val="0096044C"/>
    <w:rsid w:val="00A11F6C"/>
    <w:rsid w:val="00A37264"/>
    <w:rsid w:val="00AE0DD1"/>
    <w:rsid w:val="00C31AC2"/>
    <w:rsid w:val="00D92C30"/>
    <w:rsid w:val="00DB3CBC"/>
    <w:rsid w:val="00EA0D7F"/>
    <w:rsid w:val="010815F7"/>
    <w:rsid w:val="015C6038"/>
    <w:rsid w:val="01764F01"/>
    <w:rsid w:val="01B37B77"/>
    <w:rsid w:val="024D6B6A"/>
    <w:rsid w:val="029B04E7"/>
    <w:rsid w:val="02E52B54"/>
    <w:rsid w:val="03073BDC"/>
    <w:rsid w:val="03D8045E"/>
    <w:rsid w:val="0426573F"/>
    <w:rsid w:val="0555228E"/>
    <w:rsid w:val="05E078B3"/>
    <w:rsid w:val="07612CE5"/>
    <w:rsid w:val="07782CC3"/>
    <w:rsid w:val="077D0583"/>
    <w:rsid w:val="07CD7FFF"/>
    <w:rsid w:val="082A352F"/>
    <w:rsid w:val="08891EDC"/>
    <w:rsid w:val="09F67CD5"/>
    <w:rsid w:val="0B9E71DF"/>
    <w:rsid w:val="0C8430EB"/>
    <w:rsid w:val="100A1D1A"/>
    <w:rsid w:val="10A50104"/>
    <w:rsid w:val="119D7849"/>
    <w:rsid w:val="13CC3BA1"/>
    <w:rsid w:val="14B21339"/>
    <w:rsid w:val="14DA3DA1"/>
    <w:rsid w:val="154D7E15"/>
    <w:rsid w:val="15C30A81"/>
    <w:rsid w:val="15C3343B"/>
    <w:rsid w:val="160C36EF"/>
    <w:rsid w:val="16894F77"/>
    <w:rsid w:val="17155857"/>
    <w:rsid w:val="177F599E"/>
    <w:rsid w:val="18FB16B0"/>
    <w:rsid w:val="19010C43"/>
    <w:rsid w:val="19084C73"/>
    <w:rsid w:val="193C5FF4"/>
    <w:rsid w:val="19653003"/>
    <w:rsid w:val="1A044025"/>
    <w:rsid w:val="1A054259"/>
    <w:rsid w:val="1B1B20F3"/>
    <w:rsid w:val="1B70220F"/>
    <w:rsid w:val="1B7F6005"/>
    <w:rsid w:val="1BAB2ECE"/>
    <w:rsid w:val="1C132CB9"/>
    <w:rsid w:val="1CCC26CA"/>
    <w:rsid w:val="1CE60535"/>
    <w:rsid w:val="1E9D6342"/>
    <w:rsid w:val="1F04781B"/>
    <w:rsid w:val="1F986125"/>
    <w:rsid w:val="20067279"/>
    <w:rsid w:val="2011087F"/>
    <w:rsid w:val="20314BD3"/>
    <w:rsid w:val="204E6676"/>
    <w:rsid w:val="20D5379F"/>
    <w:rsid w:val="216A7EE4"/>
    <w:rsid w:val="2195668B"/>
    <w:rsid w:val="22AC32FF"/>
    <w:rsid w:val="245C52F8"/>
    <w:rsid w:val="2463385E"/>
    <w:rsid w:val="25134332"/>
    <w:rsid w:val="257E508F"/>
    <w:rsid w:val="258E69E5"/>
    <w:rsid w:val="26872FC8"/>
    <w:rsid w:val="26F85F4E"/>
    <w:rsid w:val="27AB7429"/>
    <w:rsid w:val="288C17EC"/>
    <w:rsid w:val="28BC2BF0"/>
    <w:rsid w:val="29ED118B"/>
    <w:rsid w:val="29FA7F26"/>
    <w:rsid w:val="2A0840C1"/>
    <w:rsid w:val="2A9D178A"/>
    <w:rsid w:val="2BD2348F"/>
    <w:rsid w:val="2CC8136A"/>
    <w:rsid w:val="2F1251F2"/>
    <w:rsid w:val="2F342AE4"/>
    <w:rsid w:val="2FC34B4E"/>
    <w:rsid w:val="30962F3E"/>
    <w:rsid w:val="30C63409"/>
    <w:rsid w:val="30D17E68"/>
    <w:rsid w:val="30FF2795"/>
    <w:rsid w:val="329A6ACE"/>
    <w:rsid w:val="345D6E8A"/>
    <w:rsid w:val="34D04BBA"/>
    <w:rsid w:val="34E52C26"/>
    <w:rsid w:val="360B1D73"/>
    <w:rsid w:val="36182203"/>
    <w:rsid w:val="361F3323"/>
    <w:rsid w:val="36E93760"/>
    <w:rsid w:val="3784394E"/>
    <w:rsid w:val="38AE3BB0"/>
    <w:rsid w:val="38D44F5D"/>
    <w:rsid w:val="39410D8B"/>
    <w:rsid w:val="3ACA5EE5"/>
    <w:rsid w:val="3ACB5746"/>
    <w:rsid w:val="3B03669D"/>
    <w:rsid w:val="3B2B7E19"/>
    <w:rsid w:val="3BB20883"/>
    <w:rsid w:val="3DCE1312"/>
    <w:rsid w:val="3E1C0F14"/>
    <w:rsid w:val="3E2B1EA2"/>
    <w:rsid w:val="3E441C7D"/>
    <w:rsid w:val="3EAA7601"/>
    <w:rsid w:val="3F093324"/>
    <w:rsid w:val="3FC956FF"/>
    <w:rsid w:val="40A36A71"/>
    <w:rsid w:val="411E3D0D"/>
    <w:rsid w:val="418803D5"/>
    <w:rsid w:val="41F466FD"/>
    <w:rsid w:val="42A67A24"/>
    <w:rsid w:val="440D5045"/>
    <w:rsid w:val="44C00D19"/>
    <w:rsid w:val="44E955E2"/>
    <w:rsid w:val="4550698C"/>
    <w:rsid w:val="45B76AAA"/>
    <w:rsid w:val="45BE6191"/>
    <w:rsid w:val="460C5979"/>
    <w:rsid w:val="46917782"/>
    <w:rsid w:val="47C01792"/>
    <w:rsid w:val="4808150F"/>
    <w:rsid w:val="4A5653D9"/>
    <w:rsid w:val="4AAD35CE"/>
    <w:rsid w:val="4AC31003"/>
    <w:rsid w:val="4AE93159"/>
    <w:rsid w:val="4BD0339A"/>
    <w:rsid w:val="4BE219AB"/>
    <w:rsid w:val="4BEC586D"/>
    <w:rsid w:val="4D462159"/>
    <w:rsid w:val="4DB20406"/>
    <w:rsid w:val="4DC605B6"/>
    <w:rsid w:val="4DC81D5C"/>
    <w:rsid w:val="4DEC0985"/>
    <w:rsid w:val="4E27683A"/>
    <w:rsid w:val="4E654861"/>
    <w:rsid w:val="4F2765B1"/>
    <w:rsid w:val="4F285975"/>
    <w:rsid w:val="4F987EA8"/>
    <w:rsid w:val="508B01F1"/>
    <w:rsid w:val="511B6D36"/>
    <w:rsid w:val="51867298"/>
    <w:rsid w:val="52BA79AE"/>
    <w:rsid w:val="52E04D27"/>
    <w:rsid w:val="53DB3477"/>
    <w:rsid w:val="547A60B6"/>
    <w:rsid w:val="55540163"/>
    <w:rsid w:val="55DD6F2A"/>
    <w:rsid w:val="56CC5358"/>
    <w:rsid w:val="575042B0"/>
    <w:rsid w:val="575223F6"/>
    <w:rsid w:val="578F220A"/>
    <w:rsid w:val="57AE16CE"/>
    <w:rsid w:val="57FC07D9"/>
    <w:rsid w:val="584F0A6E"/>
    <w:rsid w:val="58500F22"/>
    <w:rsid w:val="58C03E9F"/>
    <w:rsid w:val="5ACF0F3A"/>
    <w:rsid w:val="5BAB38E6"/>
    <w:rsid w:val="5BEC1F3E"/>
    <w:rsid w:val="5C6B1600"/>
    <w:rsid w:val="5D972B60"/>
    <w:rsid w:val="5D9D7CEE"/>
    <w:rsid w:val="5DFD51DB"/>
    <w:rsid w:val="5E0D36E5"/>
    <w:rsid w:val="5EBE625C"/>
    <w:rsid w:val="5EC75D72"/>
    <w:rsid w:val="5ED4683B"/>
    <w:rsid w:val="5F2A30E7"/>
    <w:rsid w:val="607C3753"/>
    <w:rsid w:val="60C30855"/>
    <w:rsid w:val="61421EFD"/>
    <w:rsid w:val="615C5041"/>
    <w:rsid w:val="61DD7C0C"/>
    <w:rsid w:val="61E9645D"/>
    <w:rsid w:val="63E605D3"/>
    <w:rsid w:val="649354A2"/>
    <w:rsid w:val="664805B8"/>
    <w:rsid w:val="67B825B7"/>
    <w:rsid w:val="690F418B"/>
    <w:rsid w:val="695D4A1A"/>
    <w:rsid w:val="69F02687"/>
    <w:rsid w:val="6A700F0C"/>
    <w:rsid w:val="6A7A2736"/>
    <w:rsid w:val="6A7B4B9C"/>
    <w:rsid w:val="6C89456C"/>
    <w:rsid w:val="6F1A42A0"/>
    <w:rsid w:val="6FA629D4"/>
    <w:rsid w:val="70BB2EF0"/>
    <w:rsid w:val="711E75BD"/>
    <w:rsid w:val="73110A8A"/>
    <w:rsid w:val="73D425F7"/>
    <w:rsid w:val="75614BD4"/>
    <w:rsid w:val="756310F8"/>
    <w:rsid w:val="76274B15"/>
    <w:rsid w:val="76933951"/>
    <w:rsid w:val="76F86DB9"/>
    <w:rsid w:val="77405CDA"/>
    <w:rsid w:val="78782A0D"/>
    <w:rsid w:val="79A2171F"/>
    <w:rsid w:val="79A252FF"/>
    <w:rsid w:val="79D33056"/>
    <w:rsid w:val="79E323AD"/>
    <w:rsid w:val="7AA634E6"/>
    <w:rsid w:val="7AF4293B"/>
    <w:rsid w:val="7C26369C"/>
    <w:rsid w:val="7C9E5A24"/>
    <w:rsid w:val="7D1259D2"/>
    <w:rsid w:val="7D62117D"/>
    <w:rsid w:val="7D9F6596"/>
    <w:rsid w:val="7E3E1EF2"/>
    <w:rsid w:val="7E4E6EC3"/>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E5592B-05C2-47A2-A192-990F87F1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qFormat/>
    <w:pPr>
      <w:spacing w:after="120"/>
    </w:p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320"/>
        <w:tab w:val="right" w:pos="8640"/>
      </w:tabs>
      <w:spacing w:before="0" w:after="0" w:line="240" w:lineRule="auto"/>
    </w:pPr>
  </w:style>
  <w:style w:type="paragraph" w:styleId="10">
    <w:name w:val="toc 1"/>
    <w:basedOn w:val="a"/>
    <w:next w:val="a"/>
    <w:uiPriority w:val="99"/>
    <w:semiHidden/>
    <w:unhideWhenUsed/>
    <w:qFormat/>
    <w:rPr>
      <w:rFonts w:eastAsiaTheme="minorEastAsia"/>
      <w:b/>
      <w:i/>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ind w:leftChars="200" w:left="420"/>
    </w:pPr>
    <w:rPr>
      <w:b/>
      <w:i/>
      <w:sz w:val="20"/>
    </w:rPr>
  </w:style>
  <w:style w:type="paragraph" w:styleId="a9">
    <w:name w:val="annotation subject"/>
    <w:basedOn w:val="a3"/>
    <w:next w:val="a3"/>
    <w:link w:val="Char2"/>
    <w:uiPriority w:val="99"/>
    <w:semiHidden/>
    <w:unhideWhenUsed/>
    <w:qFormat/>
    <w:pPr>
      <w:spacing w:line="240" w:lineRule="auto"/>
      <w:jc w:val="both"/>
    </w:pPr>
    <w:rPr>
      <w:b/>
      <w:bCs/>
      <w:sz w:val="20"/>
    </w:rPr>
  </w:style>
  <w:style w:type="character" w:styleId="aa">
    <w:name w:val="annotation reference"/>
    <w:basedOn w:val="a0"/>
    <w:uiPriority w:val="99"/>
    <w:semiHidden/>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b">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character" w:customStyle="1" w:styleId="Char1">
    <w:name w:val="页眉 Char"/>
    <w:basedOn w:val="a0"/>
    <w:link w:val="a7"/>
    <w:semiHidden/>
    <w:qFormat/>
    <w:rPr>
      <w:rFonts w:eastAsia="宋体"/>
      <w:kern w:val="2"/>
      <w:sz w:val="21"/>
    </w:rPr>
  </w:style>
  <w:style w:type="character" w:customStyle="1" w:styleId="Char">
    <w:name w:val="批注文字 Char"/>
    <w:basedOn w:val="a0"/>
    <w:link w:val="a3"/>
    <w:uiPriority w:val="99"/>
    <w:semiHidden/>
    <w:qFormat/>
    <w:rPr>
      <w:rFonts w:eastAsia="宋体"/>
      <w:kern w:val="2"/>
      <w:sz w:val="21"/>
    </w:rPr>
  </w:style>
  <w:style w:type="character" w:customStyle="1" w:styleId="Char2">
    <w:name w:val="批注主题 Char"/>
    <w:basedOn w:val="Char"/>
    <w:link w:val="a9"/>
    <w:uiPriority w:val="99"/>
    <w:semiHidden/>
    <w:qFormat/>
    <w:rPr>
      <w:rFonts w:eastAsia="宋体"/>
      <w:b/>
      <w:bCs/>
      <w:kern w:val="2"/>
      <w:sz w:val="21"/>
    </w:rPr>
  </w:style>
  <w:style w:type="character" w:customStyle="1" w:styleId="Char0">
    <w:name w:val="批注框文本 Char"/>
    <w:basedOn w:val="a0"/>
    <w:link w:val="a5"/>
    <w:uiPriority w:val="99"/>
    <w:semiHidden/>
    <w:qFormat/>
    <w:rPr>
      <w:rFonts w:ascii="Microsoft YaHei UI" w:eastAsia="Microsoft YaHei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962</Words>
  <Characters>5488</Characters>
  <Application>Microsoft Office Word</Application>
  <DocSecurity>0</DocSecurity>
  <Lines>45</Lines>
  <Paragraphs>12</Paragraphs>
  <ScaleCrop>false</ScaleCrop>
  <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dcterms:created xsi:type="dcterms:W3CDTF">2019-08-16T22:32:00Z</dcterms:created>
  <dcterms:modified xsi:type="dcterms:W3CDTF">2019-08-17T00:13:00Z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